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rFonts w:ascii="仿宋_GB2312" w:eastAsia="仿宋_GB2312"/>
          <w:bCs/>
          <w:sz w:val="32"/>
          <w:szCs w:val="36"/>
        </w:rPr>
      </w:pPr>
      <w:r>
        <w:rPr>
          <w:rFonts w:hint="eastAsia" w:ascii="仿宋_GB2312" w:eastAsia="仿宋_GB2312"/>
          <w:bCs/>
          <w:sz w:val="32"/>
          <w:szCs w:val="36"/>
        </w:rPr>
        <w:t>通大总支生〔201</w:t>
      </w:r>
      <w:r>
        <w:rPr>
          <w:rFonts w:hint="eastAsia" w:ascii="仿宋_GB2312" w:eastAsia="仿宋_GB2312"/>
          <w:bCs/>
          <w:sz w:val="32"/>
          <w:szCs w:val="36"/>
          <w:lang w:val="en-US" w:eastAsia="zh-CN"/>
        </w:rPr>
        <w:t>8</w:t>
      </w:r>
      <w:r>
        <w:rPr>
          <w:rFonts w:hint="eastAsia" w:ascii="仿宋_GB2312" w:eastAsia="仿宋_GB2312"/>
          <w:bCs/>
          <w:sz w:val="32"/>
          <w:szCs w:val="36"/>
        </w:rPr>
        <w:t>〕</w:t>
      </w:r>
      <w:r>
        <w:rPr>
          <w:rFonts w:hint="eastAsia" w:ascii="仿宋_GB2312" w:eastAsia="仿宋_GB2312"/>
          <w:bCs/>
          <w:sz w:val="32"/>
          <w:szCs w:val="36"/>
          <w:lang w:val="en-US" w:eastAsia="zh-CN"/>
        </w:rPr>
        <w:t>1</w:t>
      </w:r>
      <w:r>
        <w:rPr>
          <w:rFonts w:hint="eastAsia" w:ascii="仿宋_GB2312" w:eastAsia="仿宋_GB2312"/>
          <w:bCs/>
          <w:sz w:val="32"/>
          <w:szCs w:val="36"/>
        </w:rPr>
        <w:t>号</w:t>
      </w:r>
    </w:p>
    <w:p>
      <w:pPr>
        <w:jc w:val="center"/>
        <w:rPr>
          <w:rFonts w:ascii="仿宋_GB2312" w:eastAsia="仿宋_GB2312"/>
          <w:bCs/>
          <w:sz w:val="32"/>
          <w:szCs w:val="36"/>
        </w:rPr>
      </w:pPr>
    </w:p>
    <w:p>
      <w:pPr>
        <w:spacing w:line="500" w:lineRule="exact"/>
        <w:jc w:val="center"/>
        <w:rPr>
          <w:rFonts w:hint="eastAsia" w:ascii="宋体" w:hAnsi="宋体"/>
          <w:b/>
          <w:sz w:val="36"/>
          <w:szCs w:val="36"/>
        </w:rPr>
      </w:pPr>
      <w:r>
        <w:rPr>
          <w:rFonts w:hint="eastAsia" w:ascii="宋体" w:hAnsi="宋体"/>
          <w:b/>
          <w:sz w:val="36"/>
          <w:szCs w:val="36"/>
        </w:rPr>
        <w:t>生命科学学院、海洋学院201</w:t>
      </w:r>
      <w:r>
        <w:rPr>
          <w:rFonts w:hint="eastAsia" w:ascii="宋体" w:hAnsi="宋体"/>
          <w:b/>
          <w:sz w:val="36"/>
          <w:szCs w:val="36"/>
          <w:lang w:val="en-US" w:eastAsia="zh-CN"/>
        </w:rPr>
        <w:t>8</w:t>
      </w:r>
      <w:r>
        <w:rPr>
          <w:rFonts w:hint="eastAsia" w:ascii="宋体" w:hAnsi="宋体"/>
          <w:b/>
          <w:sz w:val="36"/>
          <w:szCs w:val="36"/>
        </w:rPr>
        <w:t>年党政工作要点</w:t>
      </w:r>
    </w:p>
    <w:p>
      <w:pPr>
        <w:widowControl/>
        <w:spacing w:line="360" w:lineRule="auto"/>
        <w:ind w:firstLine="562" w:firstLineChars="200"/>
        <w:jc w:val="left"/>
        <w:rPr>
          <w:rFonts w:hint="eastAsia" w:cs="Tahoma" w:asciiTheme="minorEastAsia" w:hAnsiTheme="minorEastAsia" w:eastAsiaTheme="minorEastAsia"/>
          <w:b/>
          <w:kern w:val="0"/>
          <w:sz w:val="28"/>
          <w:szCs w:val="28"/>
        </w:rPr>
      </w:pPr>
    </w:p>
    <w:p>
      <w:pPr>
        <w:widowControl/>
        <w:spacing w:line="360" w:lineRule="auto"/>
        <w:ind w:firstLine="562" w:firstLineChars="200"/>
        <w:jc w:val="left"/>
        <w:rPr>
          <w:rFonts w:cs="宋体" w:asciiTheme="minorEastAsia" w:hAnsiTheme="minorEastAsia" w:eastAsiaTheme="minorEastAsia"/>
          <w:kern w:val="0"/>
          <w:sz w:val="28"/>
          <w:szCs w:val="28"/>
        </w:rPr>
      </w:pPr>
      <w:r>
        <w:rPr>
          <w:rFonts w:hint="eastAsia" w:cs="Tahoma" w:asciiTheme="minorEastAsia" w:hAnsiTheme="minorEastAsia" w:eastAsiaTheme="minorEastAsia"/>
          <w:b/>
          <w:kern w:val="0"/>
          <w:sz w:val="28"/>
          <w:szCs w:val="28"/>
        </w:rPr>
        <w:t>一、突出思想引领，围绕中心抓党建，扎实推进党务工作。</w:t>
      </w:r>
    </w:p>
    <w:p>
      <w:pPr>
        <w:widowControl/>
        <w:spacing w:line="360" w:lineRule="auto"/>
        <w:ind w:firstLine="560" w:firstLineChars="200"/>
        <w:jc w:val="left"/>
        <w:rPr>
          <w:rFonts w:cs="Tahoma" w:asciiTheme="minorEastAsia" w:hAnsiTheme="minorEastAsia" w:eastAsiaTheme="minorEastAsia"/>
          <w:kern w:val="0"/>
          <w:sz w:val="28"/>
          <w:szCs w:val="28"/>
        </w:rPr>
      </w:pPr>
      <w:r>
        <w:rPr>
          <w:rFonts w:hint="eastAsia" w:cs="Tahoma" w:asciiTheme="minorEastAsia" w:hAnsiTheme="minorEastAsia" w:eastAsiaTheme="minorEastAsia"/>
          <w:kern w:val="0"/>
          <w:sz w:val="28"/>
          <w:szCs w:val="28"/>
        </w:rPr>
        <w:t>1.深入学习贯彻党的十九大和习近平总书记系列重要讲话精神。扎实推进“两学一做”学习教育常态化、制度化。坚持中心组学习制度，加强师德师风建设，开展专题学习活动。</w:t>
      </w:r>
    </w:p>
    <w:p>
      <w:pPr>
        <w:widowControl/>
        <w:spacing w:line="360" w:lineRule="auto"/>
        <w:ind w:firstLine="560" w:firstLineChars="200"/>
        <w:jc w:val="left"/>
        <w:rPr>
          <w:rFonts w:asciiTheme="minorEastAsia" w:hAnsiTheme="minorEastAsia" w:eastAsiaTheme="minorEastAsia"/>
          <w:sz w:val="28"/>
          <w:szCs w:val="28"/>
        </w:rPr>
      </w:pPr>
      <w:r>
        <w:rPr>
          <w:rFonts w:hint="eastAsia" w:cs="Tahoma" w:asciiTheme="minorEastAsia" w:hAnsiTheme="minorEastAsia" w:eastAsiaTheme="minorEastAsia"/>
          <w:kern w:val="0"/>
          <w:sz w:val="28"/>
          <w:szCs w:val="28"/>
        </w:rPr>
        <w:t>2.运用主题教育活动、报告会、座谈会等多种形式，形成学习热潮。</w:t>
      </w:r>
      <w:bookmarkStart w:id="0" w:name="zhengwen"/>
      <w:r>
        <w:rPr>
          <w:rFonts w:hint="eastAsia" w:asciiTheme="minorEastAsia" w:hAnsiTheme="minorEastAsia" w:eastAsiaTheme="minorEastAsia"/>
          <w:sz w:val="28"/>
          <w:szCs w:val="28"/>
        </w:rPr>
        <w:t>加强理想信念教育，推进青马培养工程。依托青年共产主义学校、党训班、理论学习社团等平台，帮助师生牢固树立中国特色社会主义共同理想。拓展思政教育渠道，激活基层党团组织活力。尊重青年学生思想水平和人生目标的差异，分层次、有重点地开展思想政治教育工作。继续加强生科院“微信公众号”和“官Q”的建设，增强两个平台在师生中的关注度和影响力。</w:t>
      </w:r>
    </w:p>
    <w:p>
      <w:pPr>
        <w:ind w:firstLine="548" w:firstLineChars="196"/>
        <w:rPr>
          <w:rFonts w:cs="Tahoma" w:asciiTheme="minorEastAsia" w:hAnsiTheme="minorEastAsia" w:eastAsiaTheme="minorEastAsia"/>
          <w:kern w:val="0"/>
          <w:sz w:val="28"/>
          <w:szCs w:val="28"/>
        </w:rPr>
      </w:pPr>
      <w:r>
        <w:rPr>
          <w:rFonts w:hint="eastAsia" w:cs="Tahoma" w:asciiTheme="minorEastAsia" w:hAnsiTheme="minorEastAsia" w:eastAsiaTheme="minorEastAsia"/>
          <w:kern w:val="0"/>
          <w:sz w:val="28"/>
          <w:szCs w:val="28"/>
        </w:rPr>
        <w:t>3.切实做好党员的发展教育管理。推进大学生党员素质工程，提高大学生党员发展质量。</w:t>
      </w:r>
      <w:r>
        <w:rPr>
          <w:rFonts w:hint="eastAsia" w:asciiTheme="minorEastAsia" w:hAnsiTheme="minorEastAsia" w:eastAsiaTheme="minorEastAsia"/>
          <w:sz w:val="28"/>
          <w:szCs w:val="28"/>
        </w:rPr>
        <w:t>抓实党员团员基础教育的广度，</w:t>
      </w:r>
      <w:r>
        <w:rPr>
          <w:rFonts w:asciiTheme="minorEastAsia" w:hAnsiTheme="minorEastAsia" w:eastAsiaTheme="minorEastAsia"/>
          <w:sz w:val="28"/>
          <w:szCs w:val="28"/>
        </w:rPr>
        <w:t>进一步加强</w:t>
      </w:r>
      <w:r>
        <w:rPr>
          <w:rFonts w:hint="eastAsia" w:asciiTheme="minorEastAsia" w:hAnsiTheme="minorEastAsia" w:eastAsiaTheme="minorEastAsia"/>
          <w:sz w:val="28"/>
          <w:szCs w:val="28"/>
        </w:rPr>
        <w:t>党</w:t>
      </w:r>
      <w:r>
        <w:rPr>
          <w:rFonts w:asciiTheme="minorEastAsia" w:hAnsiTheme="minorEastAsia" w:eastAsiaTheme="minorEastAsia"/>
          <w:sz w:val="28"/>
          <w:szCs w:val="28"/>
        </w:rPr>
        <w:t>支部的规范化建设</w:t>
      </w:r>
      <w:r>
        <w:rPr>
          <w:rFonts w:hint="eastAsia" w:asciiTheme="minorEastAsia" w:hAnsiTheme="minorEastAsia" w:eastAsiaTheme="minorEastAsia"/>
          <w:sz w:val="28"/>
          <w:szCs w:val="28"/>
        </w:rPr>
        <w:t>。</w:t>
      </w:r>
      <w:r>
        <w:rPr>
          <w:rFonts w:hint="eastAsia" w:cs="Tahoma" w:asciiTheme="minorEastAsia" w:hAnsiTheme="minorEastAsia" w:eastAsiaTheme="minorEastAsia"/>
          <w:kern w:val="0"/>
          <w:sz w:val="28"/>
          <w:szCs w:val="28"/>
        </w:rPr>
        <w:t>加大在学术骨干、优秀青年教师中发展党员的力度，加强思想建党。</w:t>
      </w:r>
    </w:p>
    <w:p>
      <w:pPr>
        <w:widowControl/>
        <w:spacing w:line="360" w:lineRule="auto"/>
        <w:ind w:firstLine="560" w:firstLineChars="200"/>
        <w:jc w:val="left"/>
        <w:rPr>
          <w:rFonts w:cs="Tahoma" w:asciiTheme="minorEastAsia" w:hAnsiTheme="minorEastAsia" w:eastAsiaTheme="minorEastAsia"/>
          <w:kern w:val="0"/>
          <w:sz w:val="28"/>
          <w:szCs w:val="28"/>
        </w:rPr>
      </w:pPr>
      <w:r>
        <w:rPr>
          <w:rFonts w:hint="eastAsia" w:cs="Tahoma" w:asciiTheme="minorEastAsia" w:hAnsiTheme="minorEastAsia" w:eastAsiaTheme="minorEastAsia"/>
          <w:kern w:val="0"/>
          <w:sz w:val="28"/>
          <w:szCs w:val="28"/>
        </w:rPr>
        <w:t>4.扎实推进党风廉政建设。加强“惩防”体系构建，推动权力公开透明运行。强化对干部选拔任用、各类考试招生、职称评定、科研经费、采购等重要环节的制度建设和监督。</w:t>
      </w:r>
    </w:p>
    <w:p>
      <w:pPr>
        <w:spacing w:line="360" w:lineRule="auto"/>
        <w:ind w:firstLine="560" w:firstLineChars="200"/>
        <w:rPr>
          <w:rFonts w:cs="宋体" w:asciiTheme="minorEastAsia" w:hAnsiTheme="minorEastAsia" w:eastAsiaTheme="minorEastAsia"/>
          <w:kern w:val="0"/>
          <w:sz w:val="28"/>
          <w:szCs w:val="28"/>
        </w:rPr>
      </w:pPr>
      <w:r>
        <w:rPr>
          <w:rFonts w:hint="eastAsia" w:cs="Tahoma" w:asciiTheme="minorEastAsia" w:hAnsiTheme="minorEastAsia" w:eastAsiaTheme="minorEastAsia"/>
          <w:kern w:val="0"/>
          <w:sz w:val="28"/>
          <w:szCs w:val="28"/>
        </w:rPr>
        <w:t>5.切实维护安全稳定</w:t>
      </w:r>
      <w:bookmarkEnd w:id="0"/>
      <w:r>
        <w:rPr>
          <w:rFonts w:hint="eastAsia" w:cs="Tahoma" w:asciiTheme="minorEastAsia" w:hAnsiTheme="minorEastAsia" w:eastAsiaTheme="minorEastAsia"/>
          <w:kern w:val="0"/>
          <w:sz w:val="28"/>
          <w:szCs w:val="28"/>
        </w:rPr>
        <w:t>，做好统一战线、群团工作。坚持党建带团建，</w:t>
      </w:r>
      <w:r>
        <w:rPr>
          <w:rFonts w:hint="eastAsia" w:cs="宋体" w:asciiTheme="minorEastAsia" w:hAnsiTheme="minorEastAsia" w:eastAsiaTheme="minorEastAsia"/>
          <w:kern w:val="0"/>
          <w:sz w:val="28"/>
          <w:szCs w:val="28"/>
        </w:rPr>
        <w:t>搞好团建工作创新。做好分工会、关工委、档案等工作。</w:t>
      </w:r>
      <w:r>
        <w:rPr>
          <w:rFonts w:hint="eastAsia" w:asciiTheme="minorEastAsia" w:hAnsiTheme="minorEastAsia" w:eastAsiaTheme="minorEastAsia"/>
          <w:sz w:val="28"/>
          <w:szCs w:val="28"/>
        </w:rPr>
        <w:t>继续加强学院文化建设，提高生科院团委学生会“微信公众号”和“官Q”的推送质量。</w:t>
      </w:r>
      <w:r>
        <w:rPr>
          <w:rFonts w:cs="宋体" w:asciiTheme="minorEastAsia" w:hAnsiTheme="minorEastAsia" w:eastAsiaTheme="minorEastAsia"/>
          <w:kern w:val="0"/>
          <w:sz w:val="28"/>
          <w:szCs w:val="28"/>
        </w:rPr>
        <w:t xml:space="preserve"> </w:t>
      </w:r>
    </w:p>
    <w:p>
      <w:pPr>
        <w:spacing w:line="360" w:lineRule="auto"/>
        <w:ind w:firstLine="557" w:firstLineChars="198"/>
        <w:rPr>
          <w:rFonts w:asciiTheme="minorEastAsia" w:hAnsiTheme="minorEastAsia" w:eastAsiaTheme="minorEastAsia"/>
          <w:b/>
          <w:sz w:val="28"/>
          <w:szCs w:val="28"/>
        </w:rPr>
      </w:pPr>
      <w:r>
        <w:rPr>
          <w:rFonts w:hint="eastAsia" w:asciiTheme="minorEastAsia" w:hAnsiTheme="minorEastAsia" w:eastAsiaTheme="minorEastAsia"/>
          <w:b/>
          <w:sz w:val="28"/>
          <w:szCs w:val="28"/>
        </w:rPr>
        <w:t>二、加强学科建设，</w:t>
      </w:r>
      <w:r>
        <w:rPr>
          <w:rFonts w:hint="eastAsia" w:cs="宋体" w:asciiTheme="minorEastAsia" w:hAnsiTheme="minorEastAsia" w:eastAsiaTheme="minorEastAsia"/>
          <w:b/>
          <w:kern w:val="0"/>
          <w:sz w:val="28"/>
          <w:szCs w:val="28"/>
        </w:rPr>
        <w:t>提升</w:t>
      </w:r>
      <w:r>
        <w:rPr>
          <w:rFonts w:hint="eastAsia" w:asciiTheme="minorEastAsia" w:hAnsiTheme="minorEastAsia" w:eastAsiaTheme="minorEastAsia"/>
          <w:b/>
          <w:sz w:val="28"/>
          <w:szCs w:val="28"/>
        </w:rPr>
        <w:t>科研实力和服务地方能力。</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1.大力加强师资队伍建设，努力建设高水平人才队伍。做好青年骨干教师队伍的培养，鼓励博士学历进修和国外研修。拓宽渠道，招才引智，努力争取招聘到合适的生物学科领军人才。</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2.抓好实验室、基地和团队建设，为各类在研项目的顺利实施创造良好条件。做好农业部南方玉米科学观测实验站的建设和管理工作，备战农业部的检查验收工作。</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强化研究生教育，努力提高研究生培养质量。加强生物教学专业学位研究生实践培养过程的管理，积极做好毕业论文的准备工作。完成2018年研究生招生宣传工作，推行导师责任制，努力提高我院研究生培养质量。</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4.建立更加有效的科研激励机制，鼓励教师发表高水平SCI论文和参加国内外学术会议。努力提高2018年国家自然科学基金的申报资助率。</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5.做好服务地方工作。广泛联系企事业单位，促进横向课题数量和经费的提升。提高自主创新能力，积极申报专利成果，争取与企业合作建立工程中心或研发平台。</w:t>
      </w:r>
    </w:p>
    <w:p>
      <w:pPr>
        <w:spacing w:line="360" w:lineRule="auto"/>
        <w:ind w:firstLine="562" w:firstLineChars="200"/>
        <w:rPr>
          <w:rFonts w:asciiTheme="minorEastAsia" w:hAnsiTheme="minorEastAsia" w:eastAsiaTheme="minorEastAsia"/>
          <w:sz w:val="28"/>
          <w:szCs w:val="28"/>
        </w:rPr>
      </w:pPr>
      <w:r>
        <w:rPr>
          <w:rFonts w:hint="eastAsia" w:asciiTheme="minorEastAsia" w:hAnsiTheme="minorEastAsia" w:eastAsiaTheme="minorEastAsia"/>
          <w:b/>
          <w:sz w:val="28"/>
          <w:szCs w:val="28"/>
        </w:rPr>
        <w:t>三、围绕专业认证，开展跟进式教学改革，提高人才培养质量。</w:t>
      </w:r>
    </w:p>
    <w:p>
      <w:pPr>
        <w:spacing w:line="360" w:lineRule="auto"/>
        <w:ind w:firstLine="560" w:firstLineChars="200"/>
        <w:jc w:val="left"/>
        <w:rPr>
          <w:rFonts w:asciiTheme="minorEastAsia" w:hAnsiTheme="minorEastAsia" w:eastAsiaTheme="minorEastAsia"/>
          <w:sz w:val="28"/>
          <w:szCs w:val="28"/>
        </w:rPr>
      </w:pPr>
      <w:r>
        <w:rPr>
          <w:rFonts w:asciiTheme="minorEastAsia" w:hAnsiTheme="minorEastAsia" w:eastAsiaTheme="minorEastAsia"/>
          <w:sz w:val="28"/>
          <w:szCs w:val="28"/>
        </w:rPr>
        <w:t>1</w:t>
      </w:r>
      <w:r>
        <w:rPr>
          <w:rFonts w:hint="eastAsia" w:asciiTheme="minorEastAsia" w:hAnsiTheme="minorEastAsia" w:eastAsiaTheme="minorEastAsia"/>
          <w:sz w:val="28"/>
          <w:szCs w:val="28"/>
        </w:rPr>
        <w:t>．落实本学期的教学任务安排并顺利实施。做好201</w:t>
      </w:r>
      <w:r>
        <w:rPr>
          <w:rFonts w:asciiTheme="minorEastAsia" w:hAnsiTheme="minorEastAsia" w:eastAsiaTheme="minorEastAsia"/>
          <w:sz w:val="28"/>
          <w:szCs w:val="28"/>
        </w:rPr>
        <w:t>8</w:t>
      </w:r>
      <w:r>
        <w:rPr>
          <w:rFonts w:hint="eastAsia" w:asciiTheme="minorEastAsia" w:hAnsiTheme="minorEastAsia" w:eastAsiaTheme="minorEastAsia"/>
          <w:sz w:val="28"/>
          <w:szCs w:val="28"/>
        </w:rPr>
        <w:t>届本科毕业论文（设计）工作。落实生物科学（师范）专业教育实习，完成实习巡视；落实生物科学专业野外实习以及生物技术、生物工程、海洋技术专业的课程见习和顶岗实习，加强实验、实践教学环节的过程管理。</w:t>
      </w:r>
    </w:p>
    <w:p>
      <w:pPr>
        <w:spacing w:line="360" w:lineRule="auto"/>
        <w:ind w:firstLine="560" w:firstLineChars="200"/>
        <w:jc w:val="left"/>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．按照专业认证的要求，认真做好生物科学（师范）专业认证相关工作，逐条落实，确保以优异成绩通过认证。</w:t>
      </w:r>
    </w:p>
    <w:p>
      <w:pPr>
        <w:spacing w:line="36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3．鼓励教师围绕学科发展、专业建设和课程教学过程中迫切需要解决的问题开展跟进式教学研究、教材建设及试题库、微课等课程资源建设，对部分优质项目争取学校立项，并积极培育省级项目。</w:t>
      </w:r>
    </w:p>
    <w:p>
      <w:pPr>
        <w:spacing w:line="36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4．组织开展“第七届江苏省师范生教学基本功大赛”推荐选手的相关培训工作，力争在本届大赛上取得好成绩。积极开展学院相关学科竞赛，培育创新、创业项目，为学生综合素质拓展提供平台。</w:t>
      </w:r>
    </w:p>
    <w:p>
      <w:pPr>
        <w:spacing w:line="36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5．以基地建设为抓手推进人才培养模式的多元化，为技能型人才培养和学生就业竞争力提升奠定基础。加强联合培养“3+2”高职与本科接轨项目的</w:t>
      </w:r>
      <w:r>
        <w:rPr>
          <w:rFonts w:asciiTheme="minorEastAsia" w:hAnsiTheme="minorEastAsia" w:eastAsiaTheme="minorEastAsia"/>
          <w:sz w:val="28"/>
          <w:szCs w:val="28"/>
        </w:rPr>
        <w:t>过程指导</w:t>
      </w:r>
      <w:r>
        <w:rPr>
          <w:rFonts w:hint="eastAsia" w:asciiTheme="minorEastAsia" w:hAnsiTheme="minorEastAsia" w:eastAsiaTheme="minorEastAsia"/>
          <w:sz w:val="28"/>
          <w:szCs w:val="28"/>
        </w:rPr>
        <w:t>。</w:t>
      </w:r>
    </w:p>
    <w:p>
      <w:pPr>
        <w:spacing w:line="36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6</w:t>
      </w:r>
      <w:r>
        <w:rPr>
          <w:rFonts w:asciiTheme="minorEastAsia" w:hAnsiTheme="minorEastAsia" w:eastAsiaTheme="minorEastAsia"/>
          <w:sz w:val="28"/>
          <w:szCs w:val="28"/>
        </w:rPr>
        <w:t>.落实江苏省骨干教师培训项目</w:t>
      </w:r>
      <w:r>
        <w:rPr>
          <w:rFonts w:hint="eastAsia" w:asciiTheme="minorEastAsia" w:hAnsiTheme="minorEastAsia" w:eastAsiaTheme="minorEastAsia"/>
          <w:sz w:val="28"/>
          <w:szCs w:val="28"/>
        </w:rPr>
        <w:t>的</w:t>
      </w:r>
      <w:r>
        <w:rPr>
          <w:rFonts w:asciiTheme="minorEastAsia" w:hAnsiTheme="minorEastAsia" w:eastAsiaTheme="minorEastAsia"/>
          <w:sz w:val="28"/>
          <w:szCs w:val="28"/>
        </w:rPr>
        <w:t>各项工作</w:t>
      </w:r>
      <w:r>
        <w:rPr>
          <w:rFonts w:hint="eastAsia" w:asciiTheme="minorEastAsia" w:hAnsiTheme="minorEastAsia" w:eastAsiaTheme="minorEastAsia"/>
          <w:sz w:val="28"/>
          <w:szCs w:val="28"/>
        </w:rPr>
        <w:t>，</w:t>
      </w:r>
      <w:r>
        <w:rPr>
          <w:rFonts w:asciiTheme="minorEastAsia" w:hAnsiTheme="minorEastAsia" w:eastAsiaTheme="minorEastAsia"/>
          <w:sz w:val="28"/>
          <w:szCs w:val="28"/>
        </w:rPr>
        <w:t>及时总结并提交</w:t>
      </w:r>
      <w:r>
        <w:rPr>
          <w:rFonts w:hint="eastAsia" w:asciiTheme="minorEastAsia" w:hAnsiTheme="minorEastAsia" w:eastAsiaTheme="minorEastAsia"/>
          <w:sz w:val="28"/>
          <w:szCs w:val="28"/>
        </w:rPr>
        <w:t>项目</w:t>
      </w:r>
      <w:r>
        <w:rPr>
          <w:rFonts w:asciiTheme="minorEastAsia" w:hAnsiTheme="minorEastAsia" w:eastAsiaTheme="minorEastAsia"/>
          <w:sz w:val="28"/>
          <w:szCs w:val="28"/>
        </w:rPr>
        <w:t>相关</w:t>
      </w:r>
      <w:r>
        <w:rPr>
          <w:rFonts w:hint="eastAsia" w:asciiTheme="minorEastAsia" w:hAnsiTheme="minorEastAsia" w:eastAsiaTheme="minorEastAsia"/>
          <w:sz w:val="28"/>
          <w:szCs w:val="28"/>
        </w:rPr>
        <w:t>材料</w:t>
      </w:r>
      <w:r>
        <w:rPr>
          <w:rFonts w:asciiTheme="minorEastAsia" w:hAnsiTheme="minorEastAsia" w:eastAsiaTheme="minorEastAsia"/>
          <w:sz w:val="28"/>
          <w:szCs w:val="28"/>
        </w:rPr>
        <w:t>，为争取后续项目奠定基础。</w:t>
      </w:r>
    </w:p>
    <w:p>
      <w:pPr>
        <w:spacing w:line="360" w:lineRule="auto"/>
        <w:ind w:firstLine="562" w:firstLineChars="200"/>
        <w:rPr>
          <w:rFonts w:cs="Tahoma" w:asciiTheme="minorEastAsia" w:hAnsiTheme="minorEastAsia" w:eastAsiaTheme="minorEastAsia"/>
          <w:b/>
          <w:sz w:val="28"/>
          <w:szCs w:val="28"/>
        </w:rPr>
      </w:pPr>
      <w:r>
        <w:rPr>
          <w:rFonts w:hint="eastAsia" w:asciiTheme="minorEastAsia" w:hAnsiTheme="minorEastAsia" w:eastAsiaTheme="minorEastAsia"/>
          <w:b/>
          <w:sz w:val="28"/>
          <w:szCs w:val="28"/>
        </w:rPr>
        <w:t>四、</w:t>
      </w:r>
      <w:r>
        <w:rPr>
          <w:rFonts w:hint="eastAsia" w:cs="Tahoma" w:asciiTheme="minorEastAsia" w:hAnsiTheme="minorEastAsia" w:eastAsiaTheme="minorEastAsia"/>
          <w:b/>
          <w:sz w:val="28"/>
          <w:szCs w:val="28"/>
        </w:rPr>
        <w:t>实践“大学工、大教育”理念，跟进学生全面发展。</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bCs/>
          <w:sz w:val="28"/>
          <w:szCs w:val="28"/>
        </w:rPr>
        <w:t>1．加强学工队伍建设。</w:t>
      </w:r>
      <w:r>
        <w:rPr>
          <w:rFonts w:hint="eastAsia" w:asciiTheme="minorEastAsia" w:hAnsiTheme="minorEastAsia" w:eastAsiaTheme="minorEastAsia"/>
          <w:sz w:val="28"/>
          <w:szCs w:val="28"/>
        </w:rPr>
        <w:t>辅导员队伍凝练专业方向，积极参与研究课题的申报。推荐辅导员参与校内外学习与交流，选拔优秀青年教师充实班导师队伍，完善班导师评优办法和考核办法。</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bCs/>
          <w:sz w:val="28"/>
          <w:szCs w:val="28"/>
        </w:rPr>
        <w:t>2．跟进学生自我管理。</w:t>
      </w:r>
      <w:r>
        <w:rPr>
          <w:rFonts w:hint="eastAsia" w:asciiTheme="minorEastAsia" w:hAnsiTheme="minorEastAsia" w:eastAsiaTheme="minorEastAsia"/>
          <w:sz w:val="28"/>
          <w:szCs w:val="28"/>
        </w:rPr>
        <w:t>着手开展E班建设，加强学生会与自管会建设，加强学生干部业务培训和工作交流，发挥各级组织在学生自我管理、自我教育、自我服务中的作用。</w:t>
      </w:r>
    </w:p>
    <w:p>
      <w:pPr>
        <w:spacing w:line="360" w:lineRule="auto"/>
        <w:ind w:firstLine="548" w:firstLineChars="196"/>
        <w:rPr>
          <w:rFonts w:asciiTheme="minorEastAsia" w:hAnsiTheme="minorEastAsia" w:eastAsiaTheme="minorEastAsia"/>
          <w:sz w:val="28"/>
          <w:szCs w:val="28"/>
        </w:rPr>
      </w:pPr>
      <w:r>
        <w:rPr>
          <w:rFonts w:hint="eastAsia" w:asciiTheme="minorEastAsia" w:hAnsiTheme="minorEastAsia" w:eastAsiaTheme="minorEastAsia"/>
          <w:sz w:val="28"/>
          <w:szCs w:val="28"/>
        </w:rPr>
        <w:t>3．抓好学风建设。摸底每个学生的学分修得情况，分类开展工作。促进2014、2015年级考研工作。以班级为单位</w:t>
      </w:r>
      <w:r>
        <w:rPr>
          <w:rFonts w:asciiTheme="minorEastAsia" w:hAnsiTheme="minorEastAsia" w:eastAsiaTheme="minorEastAsia"/>
          <w:sz w:val="28"/>
          <w:szCs w:val="28"/>
        </w:rPr>
        <w:t>，</w:t>
      </w:r>
      <w:r>
        <w:rPr>
          <w:rFonts w:hint="eastAsia" w:asciiTheme="minorEastAsia" w:hAnsiTheme="minorEastAsia" w:eastAsiaTheme="minorEastAsia"/>
          <w:sz w:val="28"/>
          <w:szCs w:val="28"/>
        </w:rPr>
        <w:t>英语</w:t>
      </w:r>
      <w:r>
        <w:rPr>
          <w:rFonts w:asciiTheme="minorEastAsia" w:hAnsiTheme="minorEastAsia" w:eastAsiaTheme="minorEastAsia"/>
          <w:sz w:val="28"/>
          <w:szCs w:val="28"/>
        </w:rPr>
        <w:t>四</w:t>
      </w:r>
      <w:r>
        <w:rPr>
          <w:rFonts w:hint="eastAsia" w:asciiTheme="minorEastAsia" w:hAnsiTheme="minorEastAsia" w:eastAsiaTheme="minorEastAsia"/>
          <w:sz w:val="28"/>
          <w:szCs w:val="28"/>
        </w:rPr>
        <w:t>六</w:t>
      </w:r>
      <w:r>
        <w:rPr>
          <w:rFonts w:asciiTheme="minorEastAsia" w:hAnsiTheme="minorEastAsia" w:eastAsiaTheme="minorEastAsia"/>
          <w:sz w:val="28"/>
          <w:szCs w:val="28"/>
        </w:rPr>
        <w:t>级通过率</w:t>
      </w:r>
      <w:r>
        <w:rPr>
          <w:rFonts w:hint="eastAsia" w:asciiTheme="minorEastAsia" w:hAnsiTheme="minorEastAsia" w:eastAsiaTheme="minorEastAsia"/>
          <w:sz w:val="28"/>
          <w:szCs w:val="28"/>
        </w:rPr>
        <w:t>、</w:t>
      </w:r>
      <w:r>
        <w:rPr>
          <w:rFonts w:asciiTheme="minorEastAsia" w:hAnsiTheme="minorEastAsia" w:eastAsiaTheme="minorEastAsia"/>
          <w:sz w:val="28"/>
          <w:szCs w:val="28"/>
        </w:rPr>
        <w:t>计算机二级通过率</w:t>
      </w:r>
      <w:r>
        <w:rPr>
          <w:rFonts w:hint="eastAsia" w:asciiTheme="minorEastAsia" w:hAnsiTheme="minorEastAsia" w:eastAsiaTheme="minorEastAsia"/>
          <w:sz w:val="28"/>
          <w:szCs w:val="28"/>
        </w:rPr>
        <w:t>、班级</w:t>
      </w:r>
      <w:r>
        <w:rPr>
          <w:rFonts w:asciiTheme="minorEastAsia" w:hAnsiTheme="minorEastAsia" w:eastAsiaTheme="minorEastAsia"/>
          <w:sz w:val="28"/>
          <w:szCs w:val="28"/>
        </w:rPr>
        <w:t>不及格</w:t>
      </w:r>
      <w:r>
        <w:rPr>
          <w:rFonts w:hint="eastAsia" w:asciiTheme="minorEastAsia" w:hAnsiTheme="minorEastAsia" w:eastAsiaTheme="minorEastAsia"/>
          <w:sz w:val="28"/>
          <w:szCs w:val="28"/>
        </w:rPr>
        <w:t>率等制定明确目标</w:t>
      </w:r>
      <w:r>
        <w:rPr>
          <w:rFonts w:asciiTheme="minorEastAsia" w:hAnsiTheme="minorEastAsia" w:eastAsiaTheme="minorEastAsia"/>
          <w:sz w:val="28"/>
          <w:szCs w:val="28"/>
        </w:rPr>
        <w:t>。</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4．关怀特殊学生。认真开展贫困生认定，落实精准资助。进一步拓展社会资源，增加勤工助学岗位。做好心理健康教育工作，邀请专家开设心理讲座，做好问题学生咨询和治疗的对接。</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5．推进就业服务。每月一次召开就业指导工作会议，分阶段筹备就业工作。主动搜集筛选各类就业信息，每周公布。针对现阶段全国中小学教师扩招，及时向生物师范毕业生推送招聘招考信息。</w:t>
      </w:r>
    </w:p>
    <w:p>
      <w:pPr>
        <w:spacing w:line="360" w:lineRule="auto"/>
        <w:ind w:firstLine="560" w:firstLineChars="200"/>
        <w:jc w:val="left"/>
        <w:rPr>
          <w:rFonts w:asciiTheme="minorEastAsia" w:hAnsiTheme="minorEastAsia" w:eastAsiaTheme="minorEastAsia"/>
          <w:sz w:val="28"/>
          <w:szCs w:val="28"/>
        </w:rPr>
      </w:pPr>
      <w:r>
        <w:rPr>
          <w:rFonts w:hint="eastAsia" w:cs="黑体" w:asciiTheme="minorEastAsia" w:hAnsiTheme="minorEastAsia" w:eastAsiaTheme="minorEastAsia"/>
          <w:sz w:val="28"/>
          <w:szCs w:val="28"/>
        </w:rPr>
        <w:t>6．引领学生科创精神。</w:t>
      </w:r>
      <w:r>
        <w:rPr>
          <w:rFonts w:hint="eastAsia" w:asciiTheme="minorEastAsia" w:hAnsiTheme="minorEastAsia" w:eastAsiaTheme="minorEastAsia"/>
          <w:sz w:val="28"/>
          <w:szCs w:val="28"/>
        </w:rPr>
        <w:t>发挥创新创业导师的力量，继续开展科研训练与素质拓展大赛、生物实验基础技能大赛等活动，组织参与高级别的学科竞赛。加强科技创新团队的建设，备战“挑战杯”竞赛。</w:t>
      </w:r>
    </w:p>
    <w:p>
      <w:pPr>
        <w:ind w:firstLine="548" w:firstLineChars="196"/>
        <w:rPr>
          <w:rFonts w:hint="eastAsia" w:cs="黑体" w:asciiTheme="minorEastAsia" w:hAnsiTheme="minorEastAsia" w:eastAsiaTheme="minorEastAsia"/>
          <w:sz w:val="28"/>
          <w:szCs w:val="28"/>
        </w:rPr>
      </w:pPr>
    </w:p>
    <w:p>
      <w:pPr>
        <w:ind w:firstLine="548" w:firstLineChars="196"/>
        <w:rPr>
          <w:rFonts w:cs="宋体" w:asciiTheme="minorEastAsia" w:hAnsiTheme="minorEastAsia" w:eastAsiaTheme="minorEastAsia"/>
          <w:kern w:val="0"/>
          <w:sz w:val="28"/>
          <w:szCs w:val="28"/>
        </w:rPr>
      </w:pPr>
      <w:r>
        <w:rPr>
          <w:rFonts w:hint="eastAsia" w:cs="黑体" w:asciiTheme="minorEastAsia" w:hAnsiTheme="minorEastAsia" w:eastAsiaTheme="minorEastAsia"/>
          <w:sz w:val="28"/>
          <w:szCs w:val="28"/>
        </w:rPr>
        <w:t>7．坚定学生文化自信</w:t>
      </w:r>
      <w:r>
        <w:rPr>
          <w:rFonts w:hint="eastAsia" w:asciiTheme="minorEastAsia" w:hAnsiTheme="minorEastAsia" w:eastAsiaTheme="minorEastAsia"/>
          <w:sz w:val="28"/>
          <w:szCs w:val="28"/>
        </w:rPr>
        <w:t>。依托学院专业特色和优势，拓展社会实践新平台，将社会实践与科技创新、服务社会相结合。邀请校内外专家开展人文知识讲座，</w:t>
      </w:r>
      <w:r>
        <w:rPr>
          <w:rFonts w:asciiTheme="minorEastAsia" w:hAnsiTheme="minorEastAsia" w:eastAsiaTheme="minorEastAsia"/>
          <w:sz w:val="28"/>
          <w:szCs w:val="28"/>
        </w:rPr>
        <w:t>举办我院既往参与</w:t>
      </w:r>
      <w:r>
        <w:rPr>
          <w:rFonts w:hint="eastAsia" w:asciiTheme="minorEastAsia" w:hAnsiTheme="minorEastAsia" w:eastAsiaTheme="minorEastAsia"/>
          <w:sz w:val="28"/>
          <w:szCs w:val="28"/>
        </w:rPr>
        <w:t>海外</w:t>
      </w:r>
      <w:r>
        <w:rPr>
          <w:rFonts w:asciiTheme="minorEastAsia" w:hAnsiTheme="minorEastAsia" w:eastAsiaTheme="minorEastAsia"/>
          <w:sz w:val="28"/>
          <w:szCs w:val="28"/>
        </w:rPr>
        <w:t>交流的</w:t>
      </w:r>
      <w:r>
        <w:rPr>
          <w:rFonts w:hint="eastAsia" w:asciiTheme="minorEastAsia" w:hAnsiTheme="minorEastAsia" w:eastAsiaTheme="minorEastAsia"/>
          <w:sz w:val="28"/>
          <w:szCs w:val="28"/>
        </w:rPr>
        <w:t>学生</w:t>
      </w:r>
      <w:r>
        <w:rPr>
          <w:rFonts w:asciiTheme="minorEastAsia" w:hAnsiTheme="minorEastAsia" w:eastAsiaTheme="minorEastAsia"/>
          <w:sz w:val="28"/>
          <w:szCs w:val="28"/>
        </w:rPr>
        <w:t>汇报会，</w:t>
      </w:r>
      <w:r>
        <w:rPr>
          <w:rFonts w:hint="eastAsia" w:asciiTheme="minorEastAsia" w:hAnsiTheme="minorEastAsia" w:eastAsiaTheme="minorEastAsia"/>
          <w:sz w:val="28"/>
          <w:szCs w:val="28"/>
        </w:rPr>
        <w:t>推进学生参与海外交流。</w:t>
      </w:r>
    </w:p>
    <w:p>
      <w:pPr>
        <w:spacing w:line="360" w:lineRule="auto"/>
        <w:ind w:firstLine="560" w:firstLineChars="200"/>
        <w:jc w:val="right"/>
        <w:rPr>
          <w:rFonts w:cs="宋体" w:asciiTheme="minorEastAsia" w:hAnsiTheme="minorEastAsia" w:eastAsiaTheme="minorEastAsia"/>
          <w:kern w:val="0"/>
          <w:sz w:val="28"/>
          <w:szCs w:val="28"/>
        </w:rPr>
      </w:pPr>
    </w:p>
    <w:p>
      <w:pPr>
        <w:spacing w:line="500" w:lineRule="exact"/>
        <w:ind w:firstLine="5400" w:firstLineChars="1800"/>
        <w:rPr>
          <w:rFonts w:hint="eastAsia" w:ascii="仿宋_GB2312" w:eastAsia="仿宋_GB2312"/>
          <w:sz w:val="30"/>
        </w:rPr>
      </w:pPr>
    </w:p>
    <w:p>
      <w:pPr>
        <w:wordWrap w:val="0"/>
        <w:spacing w:line="360" w:lineRule="auto"/>
        <w:ind w:firstLine="560" w:firstLineChars="200"/>
        <w:jc w:val="right"/>
        <w:rPr>
          <w:rFonts w:hint="eastAsia" w:cs="宋体" w:asciiTheme="minorEastAsia" w:hAnsiTheme="minorEastAsia" w:eastAsiaTheme="minorEastAsia"/>
          <w:kern w:val="0"/>
          <w:sz w:val="28"/>
          <w:szCs w:val="28"/>
          <w:lang w:val="en-US" w:eastAsia="zh-CN"/>
        </w:rPr>
      </w:pPr>
      <w:r>
        <w:rPr>
          <w:rFonts w:hint="eastAsia" w:cs="宋体" w:asciiTheme="minorEastAsia" w:hAnsiTheme="minorEastAsia" w:eastAsiaTheme="minorEastAsia"/>
          <w:kern w:val="0"/>
          <w:sz w:val="28"/>
          <w:szCs w:val="28"/>
          <w:lang w:val="en-US" w:eastAsia="zh-CN"/>
        </w:rPr>
        <w:t xml:space="preserve"> </w:t>
      </w:r>
    </w:p>
    <w:p>
      <w:pPr>
        <w:spacing w:line="500" w:lineRule="exact"/>
        <w:ind w:firstLine="4800" w:firstLineChars="1600"/>
        <w:rPr>
          <w:rFonts w:hint="eastAsia" w:ascii="仿宋_GB2312" w:eastAsia="仿宋_GB2312"/>
          <w:sz w:val="30"/>
        </w:rPr>
      </w:pPr>
      <w:r>
        <w:rPr>
          <w:rFonts w:hint="eastAsia" w:ascii="仿宋_GB2312" w:eastAsia="仿宋_GB2312"/>
          <w:sz w:val="30"/>
        </w:rPr>
        <w:t>生命科学学院</w:t>
      </w:r>
      <w:r>
        <w:rPr>
          <w:rFonts w:hint="eastAsia" w:ascii="仿宋_GB2312" w:eastAsia="仿宋_GB2312"/>
          <w:sz w:val="30"/>
          <w:lang w:eastAsia="zh-CN"/>
        </w:rPr>
        <w:t>、</w:t>
      </w:r>
      <w:r>
        <w:rPr>
          <w:rFonts w:hint="eastAsia" w:ascii="仿宋_GB2312" w:eastAsia="仿宋_GB2312"/>
          <w:sz w:val="30"/>
        </w:rPr>
        <w:t>海洋学院</w:t>
      </w:r>
    </w:p>
    <w:p>
      <w:pPr>
        <w:spacing w:line="500" w:lineRule="exact"/>
        <w:ind w:firstLine="5100" w:firstLineChars="1700"/>
        <w:rPr>
          <w:rFonts w:hint="eastAsia" w:ascii="仿宋_GB2312" w:hAnsi="宋体" w:eastAsia="仿宋_GB2312"/>
          <w:sz w:val="28"/>
          <w:szCs w:val="28"/>
        </w:rPr>
      </w:pPr>
      <w:r>
        <w:rPr>
          <w:rFonts w:hint="eastAsia" w:ascii="仿宋_GB2312" w:eastAsia="仿宋_GB2312"/>
          <w:sz w:val="30"/>
        </w:rPr>
        <w:t>201</w:t>
      </w:r>
      <w:r>
        <w:rPr>
          <w:rFonts w:hint="eastAsia" w:ascii="仿宋_GB2312" w:eastAsia="仿宋_GB2312"/>
          <w:sz w:val="30"/>
          <w:lang w:val="en-US" w:eastAsia="zh-CN"/>
        </w:rPr>
        <w:t xml:space="preserve">8 </w:t>
      </w:r>
      <w:r>
        <w:rPr>
          <w:rFonts w:hint="eastAsia" w:ascii="仿宋_GB2312" w:eastAsia="仿宋_GB2312"/>
          <w:sz w:val="30"/>
        </w:rPr>
        <w:t>年</w:t>
      </w:r>
      <w:r>
        <w:rPr>
          <w:rFonts w:hint="eastAsia" w:ascii="仿宋_GB2312" w:eastAsia="仿宋_GB2312"/>
          <w:sz w:val="30"/>
          <w:lang w:val="en-US" w:eastAsia="zh-CN"/>
        </w:rPr>
        <w:t>1</w:t>
      </w:r>
      <w:r>
        <w:rPr>
          <w:rFonts w:hint="eastAsia" w:ascii="仿宋_GB2312" w:eastAsia="仿宋_GB2312"/>
          <w:sz w:val="30"/>
        </w:rPr>
        <w:t>月</w:t>
      </w:r>
      <w:r>
        <w:rPr>
          <w:rFonts w:hint="eastAsia" w:ascii="仿宋_GB2312" w:eastAsia="仿宋_GB2312"/>
          <w:sz w:val="30"/>
          <w:lang w:val="en-US" w:eastAsia="zh-CN"/>
        </w:rPr>
        <w:t>3</w:t>
      </w:r>
      <w:r>
        <w:rPr>
          <w:rFonts w:hint="eastAsia" w:ascii="仿宋_GB2312" w:eastAsia="仿宋_GB2312"/>
          <w:sz w:val="30"/>
        </w:rPr>
        <w:t>日</w:t>
      </w:r>
      <w:r>
        <w:rPr>
          <w:rFonts w:hint="eastAsia" w:ascii="仿宋_GB2312" w:hAnsi="宋体" w:eastAsia="仿宋_GB2312"/>
          <w:sz w:val="28"/>
          <w:szCs w:val="28"/>
        </w:rPr>
        <w:t xml:space="preserve">    </w:t>
      </w:r>
    </w:p>
    <w:p>
      <w:pPr>
        <w:spacing w:line="500" w:lineRule="exact"/>
        <w:ind w:firstLine="4760" w:firstLineChars="1700"/>
        <w:rPr>
          <w:rFonts w:hint="eastAsia" w:ascii="仿宋_GB2312" w:hAnsi="宋体" w:eastAsia="仿宋_GB2312"/>
          <w:sz w:val="28"/>
          <w:szCs w:val="28"/>
        </w:rPr>
      </w:pPr>
    </w:p>
    <w:p>
      <w:pPr>
        <w:spacing w:line="500" w:lineRule="exact"/>
        <w:ind w:firstLine="4760" w:firstLineChars="1700"/>
        <w:rPr>
          <w:rFonts w:hint="eastAsia" w:ascii="仿宋_GB2312" w:hAnsi="宋体" w:eastAsia="仿宋_GB2312"/>
          <w:sz w:val="28"/>
          <w:szCs w:val="28"/>
        </w:rPr>
      </w:pPr>
    </w:p>
    <w:p>
      <w:pPr>
        <w:spacing w:line="500" w:lineRule="exact"/>
        <w:ind w:firstLine="4760" w:firstLineChars="1700"/>
        <w:rPr>
          <w:rFonts w:hint="eastAsia" w:ascii="仿宋_GB2312" w:hAnsi="宋体" w:eastAsia="仿宋_GB2312"/>
          <w:sz w:val="28"/>
          <w:szCs w:val="28"/>
        </w:rPr>
      </w:pPr>
    </w:p>
    <w:p>
      <w:pPr>
        <w:spacing w:line="500" w:lineRule="exact"/>
        <w:ind w:firstLine="4760" w:firstLineChars="1700"/>
        <w:rPr>
          <w:rFonts w:hint="eastAsia" w:ascii="仿宋_GB2312" w:hAnsi="宋体" w:eastAsia="仿宋_GB2312"/>
          <w:sz w:val="28"/>
          <w:szCs w:val="28"/>
        </w:rPr>
      </w:pPr>
    </w:p>
    <w:p>
      <w:pPr>
        <w:spacing w:line="500" w:lineRule="exact"/>
        <w:ind w:firstLine="4760" w:firstLineChars="1700"/>
        <w:rPr>
          <w:rFonts w:hint="eastAsia" w:ascii="仿宋_GB2312" w:hAnsi="宋体" w:eastAsia="仿宋_GB2312"/>
          <w:sz w:val="28"/>
          <w:szCs w:val="28"/>
        </w:rPr>
      </w:pPr>
    </w:p>
    <w:p>
      <w:pPr>
        <w:spacing w:line="500" w:lineRule="exact"/>
        <w:ind w:firstLine="4760" w:firstLineChars="1700"/>
        <w:rPr>
          <w:rFonts w:hint="eastAsia" w:ascii="仿宋_GB2312" w:hAnsi="宋体" w:eastAsia="仿宋_GB2312"/>
          <w:sz w:val="28"/>
          <w:szCs w:val="28"/>
        </w:rPr>
      </w:pPr>
    </w:p>
    <w:p>
      <w:pPr>
        <w:spacing w:line="500" w:lineRule="exact"/>
        <w:ind w:firstLine="4760" w:firstLineChars="1700"/>
        <w:rPr>
          <w:rFonts w:hint="eastAsia" w:ascii="仿宋_GB2312" w:hAnsi="宋体" w:eastAsia="仿宋_GB2312"/>
          <w:sz w:val="28"/>
          <w:szCs w:val="28"/>
        </w:rPr>
      </w:pPr>
    </w:p>
    <w:p>
      <w:pPr>
        <w:spacing w:line="500" w:lineRule="exact"/>
        <w:ind w:firstLine="4760" w:firstLineChars="1700"/>
        <w:rPr>
          <w:rFonts w:hint="eastAsia" w:ascii="仿宋_GB2312" w:hAnsi="宋体" w:eastAsia="仿宋_GB2312"/>
          <w:sz w:val="28"/>
          <w:szCs w:val="28"/>
        </w:rPr>
      </w:pPr>
    </w:p>
    <w:p>
      <w:pPr>
        <w:spacing w:line="500" w:lineRule="exact"/>
        <w:ind w:firstLine="4760" w:firstLineChars="1700"/>
        <w:rPr>
          <w:rFonts w:hint="eastAsia" w:ascii="仿宋_GB2312" w:hAnsi="宋体" w:eastAsia="仿宋_GB2312"/>
          <w:sz w:val="28"/>
          <w:szCs w:val="28"/>
        </w:rPr>
      </w:pPr>
    </w:p>
    <w:p>
      <w:pPr>
        <w:spacing w:line="500" w:lineRule="exact"/>
        <w:ind w:firstLine="4760" w:firstLineChars="1700"/>
        <w:rPr>
          <w:rFonts w:hint="eastAsia" w:ascii="仿宋_GB2312" w:hAnsi="宋体" w:eastAsia="仿宋_GB2312"/>
          <w:sz w:val="28"/>
          <w:szCs w:val="28"/>
        </w:rPr>
      </w:pPr>
    </w:p>
    <w:p>
      <w:pPr>
        <w:spacing w:line="500" w:lineRule="exact"/>
        <w:ind w:firstLine="4760" w:firstLineChars="1700"/>
        <w:rPr>
          <w:rFonts w:hint="eastAsia" w:ascii="仿宋_GB2312" w:hAnsi="宋体" w:eastAsia="仿宋_GB2312"/>
          <w:sz w:val="28"/>
          <w:szCs w:val="28"/>
        </w:rPr>
      </w:pPr>
    </w:p>
    <w:p>
      <w:pPr>
        <w:spacing w:line="500" w:lineRule="exact"/>
        <w:rPr>
          <w:rFonts w:hint="eastAsia" w:ascii="仿宋_GB2312" w:hAnsi="宋体" w:eastAsia="仿宋_GB2312"/>
          <w:sz w:val="28"/>
          <w:szCs w:val="28"/>
        </w:rPr>
      </w:pPr>
      <w:bookmarkStart w:id="1" w:name="_GoBack"/>
      <w:bookmarkEnd w:id="1"/>
    </w:p>
    <w:p>
      <w:pPr>
        <w:spacing w:line="500" w:lineRule="exact"/>
        <w:ind w:firstLine="4760" w:firstLineChars="1700"/>
        <w:rPr>
          <w:rFonts w:hint="eastAsia" w:ascii="仿宋_GB2312" w:hAnsi="宋体" w:eastAsia="仿宋_GB2312"/>
          <w:sz w:val="28"/>
          <w:szCs w:val="28"/>
        </w:rPr>
      </w:pPr>
      <w:r>
        <w:rPr>
          <w:rFonts w:hint="eastAsia" w:ascii="仿宋_GB2312" w:hAnsi="宋体" w:eastAsia="仿宋_GB2312"/>
          <w:sz w:val="28"/>
          <w:szCs w:val="28"/>
        </w:rPr>
        <w:t xml:space="preserve">             </w:t>
      </w:r>
    </w:p>
    <w:p>
      <w:pPr>
        <w:rPr>
          <w:rFonts w:hint="eastAsia"/>
        </w:rPr>
      </w:pPr>
      <w:r>
        <w:rPr>
          <w:sz w:val="20"/>
          <w:szCs w:val="3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25780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14pt;z-index:251660288;mso-width-relative:page;mso-height-relative:page;" filled="f" stroked="t" coordsize="21600,21600" o:gfxdata="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YvrOmzwAAAAIBAAAPAAAAAAAAAAEAIAAA&#10;ACIAAABkcnMvZG93bnJldi54bWxQSwECFAAUAAAACACHTuJA9Gu5UdwBAACZAwAADgAAAAAAAAAB&#10;ACAAAAAeAQAAZHJzL2Uyb0RvYy54bWxQSwUGAAAAAAYABgBZAQAAbAUAAAAA&#10;">
                <v:fill on="f" focussize="0,0"/>
                <v:stroke weight="1.5pt" color="#000000" joinstyle="round"/>
                <v:imagedata o:title=""/>
                <o:lock v:ext="edit" aspectratio="f"/>
              </v:line>
            </w:pict>
          </mc:Fallback>
        </mc:AlternateContent>
      </w:r>
      <w:r>
        <w:rPr>
          <w:sz w:val="20"/>
          <w:szCs w:val="3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396240</wp:posOffset>
                </wp:positionV>
                <wp:extent cx="5257800"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2pt;height:0pt;width:414pt;z-index:251662336;mso-width-relative:page;mso-height-relative:page;" filled="f" stroked="t" coordsize="21600,21600" o:gfxdata="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dkKTZ0gAAAAYBAAAPAAAAAAAAAAEA&#10;IAAAACIAAABkcnMvZG93bnJldi54bWxQSwECFAAUAAAACACHTuJAbcDH39wBAACZAwAADgAAAAAA&#10;AAABACAAAAAhAQAAZHJzL2Uyb0RvYy54bWxQSwUGAAAAAAYABgBZAQAAbwUAAAAA&#10;">
                <v:fill on="f" focussize="0,0"/>
                <v:stroke weight="1.5pt" color="#000000" joinstyle="round"/>
                <v:imagedata o:title=""/>
                <o:lock v:ext="edit" aspectratio="f"/>
              </v:line>
            </w:pict>
          </mc:Fallback>
        </mc:AlternateContent>
      </w:r>
      <w:r>
        <w:rPr>
          <w:sz w:val="20"/>
          <w:szCs w:val="3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396240</wp:posOffset>
                </wp:positionV>
                <wp:extent cx="635"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2pt;height:0pt;width:0.05pt;z-index:251661312;mso-width-relative:page;mso-height-relative:page;" filled="f" stroked="t" coordsize="21600,21600" o:gfxdata="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B9+QjQAAAAAwEAAA8AAAAAAAAAAQAgAAAAIgAA&#10;AGRycy9kb3ducmV2LnhtbFBLAQIUABQAAAAIAIdO4kB1hD9a1wEAAJQDAAAOAAAAAAAAAAEAIAAA&#10;AB8BAABkcnMvZTJvRG9jLnhtbFBLBQYAAAAABgAGAFkBAABoBQAAAAA=&#10;">
                <v:fill on="f" focussize="0,0"/>
                <v:stroke color="#000000" joinstyle="round"/>
                <v:imagedata o:title=""/>
                <o:lock v:ext="edit" aspectratio="f"/>
              </v:line>
            </w:pict>
          </mc:Fallback>
        </mc:AlternateContent>
      </w:r>
      <w:r>
        <w:rPr>
          <w:sz w:val="20"/>
          <w:szCs w:val="3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 cy="0"/>
                <wp:effectExtent l="0" t="0" r="0" b="0"/>
                <wp:wrapNone/>
                <wp:docPr id="15" name="直接连接符 1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0.05pt;z-index:251659264;mso-width-relative:page;mso-height-relative:page;" filled="f" stroked="t" coordsize="21600,21600" o:gfxdata="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Eo2x3NAAAA/wAAAA8AAAAAAAAAAQAgAAAAIgAAAGRy&#10;cy9kb3ducmV2LnhtbFBLAQIUABQAAAAIAIdO4kBFgE2h1wEAAJQDAAAOAAAAAAAAAAEAIAAAABwB&#10;AABkcnMvZTJvRG9jLnhtbFBLBQYAAAAABgAGAFkBAABlBQAAAAA=&#10;">
                <v:fill on="f" focussize="0,0"/>
                <v:stroke color="#000000" joinstyle="round"/>
                <v:imagedata o:title=""/>
                <o:lock v:ext="edit" aspectratio="f"/>
              </v:line>
            </w:pict>
          </mc:Fallback>
        </mc:AlternateContent>
      </w:r>
      <w:r>
        <w:rPr>
          <w:rFonts w:hint="eastAsia" w:ascii="仿宋_GB2312" w:hAnsi="华文仿宋" w:eastAsia="仿宋_GB2312"/>
          <w:sz w:val="30"/>
          <w:szCs w:val="30"/>
        </w:rPr>
        <w:t>中共南通大学生命科学学院总支</w:t>
      </w:r>
      <w:r>
        <w:rPr>
          <w:rFonts w:hint="eastAsia" w:ascii="仿宋_GB2312" w:eastAsia="仿宋_GB2312"/>
          <w:bCs/>
          <w:sz w:val="30"/>
          <w:szCs w:val="30"/>
        </w:rPr>
        <w:t>委员会</w:t>
      </w:r>
      <w:r>
        <w:rPr>
          <w:rFonts w:hint="eastAsia"/>
          <w:sz w:val="30"/>
          <w:szCs w:val="30"/>
        </w:rPr>
        <w:t xml:space="preserve"> </w:t>
      </w:r>
      <w:r>
        <w:rPr>
          <w:rFonts w:hint="eastAsia" w:ascii="仿宋_GB2312" w:eastAsia="仿宋_GB2312"/>
          <w:sz w:val="30"/>
          <w:szCs w:val="30"/>
        </w:rPr>
        <w:t>201</w:t>
      </w:r>
      <w:r>
        <w:rPr>
          <w:rFonts w:hint="eastAsia" w:ascii="仿宋_GB2312" w:eastAsia="仿宋_GB2312"/>
          <w:sz w:val="30"/>
          <w:szCs w:val="30"/>
          <w:lang w:val="en-US" w:eastAsia="zh-CN"/>
        </w:rPr>
        <w:t>8</w:t>
      </w:r>
      <w:r>
        <w:rPr>
          <w:rFonts w:hint="eastAsia" w:ascii="仿宋_GB2312" w:eastAsia="仿宋_GB2312"/>
          <w:sz w:val="30"/>
          <w:szCs w:val="30"/>
        </w:rPr>
        <w:t>年</w:t>
      </w:r>
      <w:r>
        <w:rPr>
          <w:rFonts w:hint="eastAsia" w:ascii="仿宋_GB2312" w:eastAsia="仿宋_GB2312"/>
          <w:sz w:val="30"/>
          <w:szCs w:val="30"/>
          <w:lang w:val="en-US" w:eastAsia="zh-CN"/>
        </w:rPr>
        <w:t>1</w:t>
      </w:r>
      <w:r>
        <w:rPr>
          <w:rFonts w:hint="eastAsia" w:ascii="仿宋_GB2312" w:eastAsia="仿宋_GB2312"/>
          <w:sz w:val="30"/>
          <w:szCs w:val="30"/>
        </w:rPr>
        <w:t>月</w:t>
      </w:r>
      <w:r>
        <w:rPr>
          <w:rFonts w:hint="eastAsia" w:ascii="仿宋_GB2312" w:eastAsia="仿宋_GB2312"/>
          <w:sz w:val="30"/>
          <w:szCs w:val="30"/>
          <w:lang w:val="en-US" w:eastAsia="zh-CN"/>
        </w:rPr>
        <w:t>3</w:t>
      </w:r>
      <w:r>
        <w:rPr>
          <w:rFonts w:hint="eastAsia" w:ascii="仿宋_GB2312" w:eastAsia="仿宋_GB2312"/>
          <w:sz w:val="30"/>
          <w:szCs w:val="30"/>
        </w:rPr>
        <w:t xml:space="preserve">日印发 </w:t>
      </w:r>
    </w:p>
    <w:p>
      <w:pPr>
        <w:ind w:left="1183" w:leftChars="190" w:hanging="784" w:hangingChars="280"/>
        <w:jc w:val="right"/>
        <w:rPr>
          <w:rFonts w:hint="eastAsia"/>
        </w:rPr>
      </w:pPr>
      <w:r>
        <w:rPr>
          <w:rFonts w:hint="eastAsia" w:ascii="仿宋_GB2312" w:eastAsia="仿宋_GB2312"/>
          <w:sz w:val="28"/>
          <w:szCs w:val="28"/>
        </w:rPr>
        <w:t>(共印6份 )</w:t>
      </w:r>
    </w:p>
    <w:p>
      <w:pPr>
        <w:spacing w:line="360" w:lineRule="auto"/>
        <w:ind w:firstLine="560" w:firstLineChars="200"/>
        <w:jc w:val="center"/>
        <w:rPr>
          <w:rFonts w:hint="eastAsia" w:ascii="仿宋_GB2312" w:hAnsi="宋体" w:eastAsia="仿宋_GB2312"/>
          <w:sz w:val="28"/>
          <w:szCs w:val="28"/>
        </w:rPr>
      </w:pPr>
    </w:p>
    <w:p>
      <w:pPr>
        <w:spacing w:line="360" w:lineRule="auto"/>
        <w:ind w:firstLine="560" w:firstLineChars="200"/>
        <w:jc w:val="center"/>
        <w:rPr>
          <w:rFonts w:hint="eastAsia" w:ascii="仿宋_GB2312" w:hAnsi="宋体" w:eastAsia="仿宋_GB2312"/>
          <w:sz w:val="28"/>
          <w:szCs w:val="28"/>
        </w:rPr>
      </w:pPr>
    </w:p>
    <w:p>
      <w:pPr>
        <w:spacing w:line="360" w:lineRule="auto"/>
        <w:ind w:firstLine="560" w:firstLineChars="200"/>
        <w:jc w:val="center"/>
        <w:rPr>
          <w:rFonts w:hint="eastAsia" w:ascii="仿宋_GB2312" w:hAnsi="宋体" w:eastAsia="仿宋_GB2312"/>
          <w:sz w:val="28"/>
          <w:szCs w:val="28"/>
        </w:rPr>
      </w:pPr>
    </w:p>
    <w:p>
      <w:pPr>
        <w:spacing w:line="360" w:lineRule="auto"/>
        <w:ind w:firstLine="560" w:firstLineChars="200"/>
        <w:jc w:val="center"/>
        <w:rPr>
          <w:rFonts w:hint="eastAsia" w:ascii="仿宋_GB2312" w:hAnsi="宋体" w:eastAsia="仿宋_GB2312"/>
          <w:sz w:val="28"/>
          <w:szCs w:val="28"/>
        </w:rPr>
      </w:pPr>
    </w:p>
    <w:p>
      <w:pPr>
        <w:spacing w:line="360" w:lineRule="auto"/>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  </w:t>
      </w:r>
    </w:p>
    <w:p>
      <w:pPr>
        <w:spacing w:line="360" w:lineRule="auto"/>
        <w:jc w:val="both"/>
        <w:rPr>
          <w:rFonts w:hint="eastAsia" w:ascii="仿宋_GB2312" w:hAnsi="宋体" w:eastAsia="仿宋_GB2312"/>
          <w:sz w:val="28"/>
          <w:szCs w:val="28"/>
          <w:lang w:val="en-US" w:eastAsia="zh-CN"/>
        </w:rPr>
      </w:pPr>
    </w:p>
    <w:p>
      <w:pPr>
        <w:spacing w:line="360" w:lineRule="auto"/>
        <w:jc w:val="both"/>
        <w:rPr>
          <w:rFonts w:hint="eastAsia" w:ascii="仿宋_GB2312" w:hAnsi="宋体" w:eastAsia="仿宋_GB2312"/>
          <w:sz w:val="28"/>
          <w:szCs w:val="28"/>
          <w:lang w:val="en-US" w:eastAsia="zh-CN"/>
        </w:rPr>
      </w:pPr>
    </w:p>
    <w:p>
      <w:pPr>
        <w:spacing w:line="360" w:lineRule="auto"/>
        <w:jc w:val="both"/>
        <w:rPr>
          <w:rFonts w:hint="eastAsia" w:ascii="仿宋_GB2312" w:hAnsi="宋体" w:eastAsia="仿宋_GB2312"/>
          <w:sz w:val="28"/>
          <w:szCs w:val="28"/>
          <w:lang w:val="en-US" w:eastAsia="zh-CN"/>
        </w:rPr>
      </w:pPr>
    </w:p>
    <w:p>
      <w:pPr>
        <w:spacing w:line="360" w:lineRule="auto"/>
        <w:jc w:val="both"/>
        <w:rPr>
          <w:rFonts w:hint="eastAsia" w:ascii="仿宋_GB2312" w:hAnsi="宋体" w:eastAsia="仿宋_GB2312"/>
          <w:sz w:val="28"/>
          <w:szCs w:val="28"/>
          <w:lang w:val="en-US" w:eastAsia="zh-CN"/>
        </w:rPr>
      </w:pPr>
    </w:p>
    <w:p>
      <w:pPr>
        <w:spacing w:line="360" w:lineRule="auto"/>
        <w:jc w:val="both"/>
        <w:rPr>
          <w:rFonts w:hint="eastAsia" w:ascii="仿宋_GB2312" w:hAnsi="宋体" w:eastAsia="仿宋_GB2312"/>
          <w:sz w:val="28"/>
          <w:szCs w:val="28"/>
          <w:lang w:val="en-US" w:eastAsia="zh-CN"/>
        </w:rPr>
      </w:pPr>
    </w:p>
    <w:p>
      <w:pPr>
        <w:spacing w:line="360" w:lineRule="auto"/>
        <w:jc w:val="both"/>
        <w:rPr>
          <w:rFonts w:hint="eastAsia" w:ascii="仿宋_GB2312" w:hAnsi="宋体" w:eastAsia="仿宋_GB2312"/>
          <w:sz w:val="28"/>
          <w:szCs w:val="28"/>
          <w:lang w:val="en-US" w:eastAsia="zh-CN"/>
        </w:rPr>
      </w:pPr>
    </w:p>
    <w:p>
      <w:pPr>
        <w:spacing w:line="360" w:lineRule="auto"/>
        <w:jc w:val="both"/>
        <w:rPr>
          <w:rFonts w:hint="eastAsia" w:ascii="仿宋_GB2312" w:hAnsi="宋体" w:eastAsia="仿宋_GB2312"/>
          <w:sz w:val="28"/>
          <w:szCs w:val="28"/>
          <w:lang w:val="en-US" w:eastAsia="zh-CN"/>
        </w:rPr>
      </w:pPr>
    </w:p>
    <w:p>
      <w:pPr>
        <w:spacing w:line="360" w:lineRule="auto"/>
        <w:jc w:val="both"/>
        <w:rPr>
          <w:rFonts w:hint="eastAsia" w:ascii="仿宋_GB2312" w:hAnsi="宋体" w:eastAsia="仿宋_GB2312"/>
          <w:sz w:val="28"/>
          <w:szCs w:val="28"/>
          <w:lang w:val="en-US" w:eastAsia="zh-CN"/>
        </w:rPr>
      </w:pPr>
    </w:p>
    <w:p>
      <w:pPr>
        <w:rPr>
          <w:rFonts w:hint="eastAsia"/>
        </w:rPr>
      </w:pPr>
    </w:p>
    <w:p>
      <w:pPr>
        <w:rPr>
          <w:rFonts w:ascii="仿宋_GB2312" w:hAnsi="宋体" w:eastAsia="仿宋_GB2312"/>
          <w:sz w:val="28"/>
          <w:szCs w:val="28"/>
        </w:rPr>
      </w:pPr>
    </w:p>
    <w:p>
      <w:pPr>
        <w:wordWrap/>
        <w:spacing w:line="360" w:lineRule="auto"/>
        <w:jc w:val="both"/>
        <w:rPr>
          <w:rFonts w:hint="eastAsia" w:cs="宋体" w:asciiTheme="minorEastAsia" w:hAnsiTheme="minorEastAsia" w:eastAsiaTheme="minorEastAsia"/>
          <w:kern w:val="0"/>
          <w:sz w:val="28"/>
          <w:szCs w:val="28"/>
          <w:lang w:val="en-US" w:eastAsia="zh-CN"/>
        </w:rPr>
      </w:pPr>
    </w:p>
    <w:sectPr>
      <w:footerReference r:id="rId3" w:type="defaul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1024" behindDoc="0" locked="0" layoutInCell="1" allowOverlap="1">
              <wp:simplePos x="0" y="0"/>
              <wp:positionH relativeFrom="margin">
                <wp:align>left</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- 10 -</w:t>
                          </w:r>
                          <w:r>
                            <w:rPr>
                              <w:rFonts w:hint="eastAsia"/>
                              <w:sz w:val="1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left;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Q&#10;oHyhtwEAAFQDAAAOAAAAAAAAAAEAIAAAAB4BAABkcnMvZTJvRG9jLnhtbFBLBQYAAAAABgAGAFkB&#10;AABH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- 10 -</w:t>
                    </w:r>
                    <w:r>
                      <w:rPr>
                        <w:rFonts w:hint="eastAsia"/>
                        <w:sz w:val="18"/>
                      </w:rPr>
                      <w:fldChar w:fldCharType="end"/>
                    </w:r>
                  </w:p>
                </w:txbxContent>
              </v:textbox>
            </v:shape>
          </w:pict>
        </mc:Fallback>
      </mc:AlternateContent>
    </w:r>
    <w:r>
      <w:rPr>
        <w:rFonts w:hint="eastAsia"/>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F33"/>
    <w:rsid w:val="003E71BF"/>
    <w:rsid w:val="00655449"/>
    <w:rsid w:val="006E1C2A"/>
    <w:rsid w:val="00705E02"/>
    <w:rsid w:val="00901F33"/>
    <w:rsid w:val="00913F82"/>
    <w:rsid w:val="009E5CD5"/>
    <w:rsid w:val="00F1367F"/>
    <w:rsid w:val="00FD6ED7"/>
    <w:rsid w:val="10B06AB9"/>
    <w:rsid w:val="251733AD"/>
    <w:rsid w:val="2F7E0D46"/>
    <w:rsid w:val="33A8420B"/>
    <w:rsid w:val="40B37197"/>
    <w:rsid w:val="49BC3B53"/>
    <w:rsid w:val="4B792C74"/>
    <w:rsid w:val="522A2E15"/>
    <w:rsid w:val="5D694F0D"/>
    <w:rsid w:val="64345373"/>
    <w:rsid w:val="7BB77BED"/>
    <w:rsid w:val="7C202A8A"/>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page number"/>
    <w:basedOn w:val="4"/>
    <w:uiPriority w:val="0"/>
  </w:style>
  <w:style w:type="character" w:styleId="6">
    <w:name w:val="FollowedHyperlink"/>
    <w:basedOn w:val="4"/>
    <w:uiPriority w:val="0"/>
    <w:rPr>
      <w:color w:val="0000FF"/>
      <w:u w:val="single"/>
    </w:rPr>
  </w:style>
  <w:style w:type="character" w:styleId="7">
    <w:name w:val="Hyperlink"/>
    <w:basedOn w:val="4"/>
    <w:qFormat/>
    <w:uiPriority w:val="0"/>
    <w:rPr>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vip</Company>
  <Pages>10</Pages>
  <Words>710</Words>
  <Characters>4047</Characters>
  <Lines>33</Lines>
  <Paragraphs>9</Paragraphs>
  <TotalTime>3</TotalTime>
  <ScaleCrop>false</ScaleCrop>
  <LinksUpToDate>false</LinksUpToDate>
  <CharactersWithSpaces>4748</CharactersWithSpaces>
  <Application>WPS Office_11.1.0.8183_F1E327BC-269C-435d-A152-05C5408002CA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2017-03-15T06:06:00Z</dcterms:created>
  <dc:creator>user</dc:creator>
  <cp:lastModifiedBy>不念</cp:lastModifiedBy>
  <cp:lastPrinted>2018-12-10T02:05:00Z</cp:lastPrinted>
  <dcterms:modified xsi:type="dcterms:W3CDTF">2018-12-17T07:25:47Z</dcterms:modified>
  <dc:title>关于教工党支部委员会组成人员的批复</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2052-11.1.0.8183</vt:lpwstr>
  </property>
</Properties>
</file>